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17BAA" w14:textId="124FAA26" w:rsidR="00CA0BFD" w:rsidRPr="000201A3" w:rsidRDefault="000201A3" w:rsidP="00CA0BFD">
      <w:pPr>
        <w:spacing w:line="240" w:lineRule="auto"/>
        <w:contextualSpacing/>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01A3">
        <w:rPr>
          <w:rFonts w:ascii="Arial" w:hAnsi="Arial" w:cs="Arial"/>
          <w:noProof/>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43392" behindDoc="0" locked="0" layoutInCell="1" allowOverlap="1" wp14:anchorId="463DAAFF" wp14:editId="1CAFECCA">
            <wp:simplePos x="0" y="0"/>
            <wp:positionH relativeFrom="margin">
              <wp:posOffset>5189220</wp:posOffset>
            </wp:positionH>
            <wp:positionV relativeFrom="margin">
              <wp:align>top</wp:align>
            </wp:positionV>
            <wp:extent cx="1013460" cy="93726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013460" cy="937260"/>
                    </a:xfrm>
                    <a:prstGeom prst="rect">
                      <a:avLst/>
                    </a:prstGeom>
                  </pic:spPr>
                </pic:pic>
              </a:graphicData>
            </a:graphic>
          </wp:anchor>
        </w:drawing>
      </w:r>
      <w:r w:rsidR="00CA0BFD" w:rsidRPr="000201A3">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Fachbereich Metall- und </w:t>
      </w:r>
    </w:p>
    <w:p w14:paraId="44C264DE" w14:textId="4177C943" w:rsidR="00CA0BFD" w:rsidRPr="000201A3" w:rsidRDefault="00CA0BFD" w:rsidP="00CA0BFD">
      <w:pPr>
        <w:spacing w:line="240" w:lineRule="auto"/>
        <w:contextualSpacing/>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201A3">
        <w:rPr>
          <w:noProof/>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35200" behindDoc="0" locked="0" layoutInCell="1" allowOverlap="1" wp14:anchorId="7931BD85" wp14:editId="1FB24CDE">
                <wp:simplePos x="0" y="0"/>
                <wp:positionH relativeFrom="column">
                  <wp:posOffset>-747395</wp:posOffset>
                </wp:positionH>
                <wp:positionV relativeFrom="paragraph">
                  <wp:posOffset>368935</wp:posOffset>
                </wp:positionV>
                <wp:extent cx="4602480" cy="30480"/>
                <wp:effectExtent l="0" t="0" r="26670" b="26670"/>
                <wp:wrapNone/>
                <wp:docPr id="2" name="Gerader Verbinder 2"/>
                <wp:cNvGraphicFramePr/>
                <a:graphic xmlns:a="http://schemas.openxmlformats.org/drawingml/2006/main">
                  <a:graphicData uri="http://schemas.microsoft.com/office/word/2010/wordprocessingShape">
                    <wps:wsp>
                      <wps:cNvCnPr/>
                      <wps:spPr>
                        <a:xfrm>
                          <a:off x="0" y="0"/>
                          <a:ext cx="4602480"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F40A5" id="Gerader Verbinder 2" o:spid="_x0000_s1026" style="position:absolute;z-index:251635200;visibility:visible;mso-wrap-style:square;mso-wrap-distance-left:9pt;mso-wrap-distance-top:0;mso-wrap-distance-right:9pt;mso-wrap-distance-bottom:0;mso-position-horizontal:absolute;mso-position-horizontal-relative:text;mso-position-vertical:absolute;mso-position-vertical-relative:text" from="-58.85pt,29.05pt" to="303.5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" strokecolor="#4472c4 [3204]" strokeweight=".5pt">
                <v:stroke joinstyle="miter"/>
              </v:line>
            </w:pict>
          </mc:Fallback>
        </mc:AlternateContent>
      </w:r>
      <w:r w:rsidRPr="000201A3">
        <w:rPr>
          <w:rFonts w:ascii="Arial" w:hAnsi="Arial" w:cs="Arial"/>
          <w:color w:val="4472C4"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Fahrzeugtechnik</w:t>
      </w:r>
    </w:p>
    <w:p w14:paraId="1C183435" w14:textId="4C507C8B" w:rsidR="00CA0BFD" w:rsidRDefault="00CA0BFD" w:rsidP="00CA0BFD">
      <w:pPr>
        <w:spacing w:line="240" w:lineRule="auto"/>
        <w:contextualSpacing/>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B1DD78A" w14:textId="72E2C284" w:rsidR="00CA0BFD" w:rsidRDefault="00CA0BFD" w:rsidP="00CA0BFD">
      <w:pPr>
        <w:spacing w:line="240" w:lineRule="auto"/>
        <w:contextualSpacing/>
        <w:rPr>
          <w:rFonts w:ascii="Arial" w:hAnsi="Arial" w:cs="Arial"/>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4D25B0" w14:textId="02C0320F" w:rsidR="00CA0BFD" w:rsidRPr="00CA0BFD" w:rsidRDefault="00CA0BFD" w:rsidP="00CA0BFD">
      <w:pPr>
        <w:spacing w:line="240" w:lineRule="auto"/>
        <w:contextualSpacing/>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w:t>
      </w:r>
      <w:r w:rsidR="000201A3">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__________________</w:t>
      </w:r>
      <w:r w:rsidR="000201A3">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Klasse: ___________</w:t>
      </w:r>
      <w:r w:rsidR="000201A3">
        <w:rPr>
          <w:rFonts w:ascii="Arial" w:hAnsi="Arial" w:cs="Arial"/>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Datum ______________</w:t>
      </w:r>
    </w:p>
    <w:p w14:paraId="49B1DEB9" w14:textId="3B734D1F" w:rsidR="00CA0BFD" w:rsidRPr="00CA0BFD" w:rsidRDefault="00CA0BFD" w:rsidP="00CA0BFD">
      <w:pPr>
        <w:spacing w:line="240" w:lineRule="auto"/>
        <w:contextualSpacing/>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4D2A26" w14:textId="6B53C395" w:rsidR="000201A3" w:rsidRDefault="000201A3">
      <w:r>
        <w:rPr>
          <w:noProof/>
        </w:rPr>
        <mc:AlternateContent>
          <mc:Choice Requires="wps">
            <w:drawing>
              <wp:anchor distT="0" distB="0" distL="114300" distR="114300" simplePos="0" relativeHeight="251646464" behindDoc="0" locked="0" layoutInCell="1" allowOverlap="1" wp14:anchorId="03B325D5" wp14:editId="0F21667A">
                <wp:simplePos x="0" y="0"/>
                <wp:positionH relativeFrom="column">
                  <wp:posOffset>-1036955</wp:posOffset>
                </wp:positionH>
                <wp:positionV relativeFrom="paragraph">
                  <wp:posOffset>161290</wp:posOffset>
                </wp:positionV>
                <wp:extent cx="7566660"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7566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DF67D" id="Gerader Verbinder 3"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12.7pt" to="514.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" strokecolor="#4472c4 [3204]" strokeweight=".5pt">
                <v:stroke joinstyle="miter"/>
              </v:line>
            </w:pict>
          </mc:Fallback>
        </mc:AlternateContent>
      </w:r>
    </w:p>
    <w:p w14:paraId="777C7933" w14:textId="180BF06D" w:rsidR="00E43E5D" w:rsidRDefault="007458F6" w:rsidP="00551A19">
      <w:pPr>
        <w:jc w:val="center"/>
        <w:rPr>
          <w:rFonts w:ascii="Arial" w:hAnsi="Arial" w:cs="Arial"/>
          <w:b/>
          <w:bCs/>
          <w:i/>
          <w:iCs/>
          <w:noProof/>
          <w:sz w:val="24"/>
          <w:szCs w:val="24"/>
          <w:lang w:eastAsia="de-DE"/>
        </w:rPr>
      </w:pPr>
      <w:r>
        <w:rPr>
          <w:rFonts w:ascii="Arial" w:hAnsi="Arial" w:cs="Arial"/>
          <w:b/>
          <w:bCs/>
          <w:i/>
          <w:iCs/>
          <w:noProof/>
          <w:sz w:val="24"/>
          <w:szCs w:val="24"/>
          <w:lang w:eastAsia="de-DE"/>
        </w:rPr>
        <mc:AlternateContent>
          <mc:Choice Requires="wps">
            <w:drawing>
              <wp:anchor distT="0" distB="0" distL="114300" distR="114300" simplePos="0" relativeHeight="251659264" behindDoc="0" locked="0" layoutInCell="1" allowOverlap="1" wp14:anchorId="1D134C7B" wp14:editId="2599A179">
                <wp:simplePos x="0" y="0"/>
                <wp:positionH relativeFrom="column">
                  <wp:posOffset>-122555</wp:posOffset>
                </wp:positionH>
                <wp:positionV relativeFrom="paragraph">
                  <wp:posOffset>234950</wp:posOffset>
                </wp:positionV>
                <wp:extent cx="6332220" cy="2049780"/>
                <wp:effectExtent l="0" t="0" r="11430" b="26670"/>
                <wp:wrapNone/>
                <wp:docPr id="4" name="Rechteck 4"/>
                <wp:cNvGraphicFramePr/>
                <a:graphic xmlns:a="http://schemas.openxmlformats.org/drawingml/2006/main">
                  <a:graphicData uri="http://schemas.microsoft.com/office/word/2010/wordprocessingShape">
                    <wps:wsp>
                      <wps:cNvSpPr/>
                      <wps:spPr>
                        <a:xfrm>
                          <a:off x="0" y="0"/>
                          <a:ext cx="6332220" cy="2049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5C379" id="Rechteck 4" o:spid="_x0000_s1026" style="position:absolute;margin-left:-9.65pt;margin-top:18.5pt;width:498.6pt;height:16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" filled="f" strokecolor="#1f3763 [1604]" strokeweight="1pt"/>
            </w:pict>
          </mc:Fallback>
        </mc:AlternateContent>
      </w:r>
      <w:r w:rsidR="00551A19">
        <w:rPr>
          <w:rFonts w:ascii="Arial" w:hAnsi="Arial" w:cs="Arial"/>
          <w:b/>
          <w:bCs/>
          <w:i/>
          <w:iCs/>
          <w:noProof/>
          <w:sz w:val="24"/>
          <w:szCs w:val="24"/>
          <w:lang w:eastAsia="de-DE"/>
        </w:rPr>
        <w:t>Formen der Kooperation – Kartelle</w:t>
      </w:r>
    </w:p>
    <w:p w14:paraId="0ACD4D06" w14:textId="280F1583" w:rsidR="00551A19" w:rsidRDefault="00551A19" w:rsidP="00551A19">
      <w:pPr>
        <w:rPr>
          <w:rFonts w:ascii="Arial" w:hAnsi="Arial" w:cs="Arial"/>
          <w:b/>
          <w:bCs/>
          <w:noProof/>
          <w:sz w:val="24"/>
          <w:szCs w:val="24"/>
          <w:lang w:eastAsia="de-DE"/>
        </w:rPr>
      </w:pPr>
      <w:r>
        <w:rPr>
          <w:rFonts w:ascii="Arial" w:hAnsi="Arial" w:cs="Arial"/>
          <w:b/>
          <w:bCs/>
          <w:noProof/>
          <w:sz w:val="24"/>
          <w:szCs w:val="24"/>
          <w:lang w:eastAsia="de-DE"/>
        </w:rPr>
        <w:t>Millionenbuße für Haribo und Einzelhändler</w:t>
      </w:r>
    </w:p>
    <w:p w14:paraId="65B91229" w14:textId="4B4105D4" w:rsidR="00551A19" w:rsidRDefault="00551A19" w:rsidP="00551A19">
      <w:pPr>
        <w:rPr>
          <w:rFonts w:ascii="Arial" w:hAnsi="Arial" w:cs="Arial"/>
          <w:noProof/>
          <w:sz w:val="24"/>
          <w:szCs w:val="24"/>
          <w:lang w:eastAsia="de-DE"/>
        </w:rPr>
      </w:pPr>
      <w:r>
        <w:rPr>
          <w:rFonts w:ascii="Arial" w:hAnsi="Arial" w:cs="Arial"/>
          <w:noProof/>
          <w:sz w:val="24"/>
          <w:szCs w:val="24"/>
          <w:lang w:eastAsia="de-DE"/>
        </w:rPr>
        <w:t>Wegen verbotener Preisabsprachen hat das Bundeskartellamt Geldstrafen in einer Höhe von insgesamt 48,5 Millionen Euro verhängt. Für Fruchtgummis und Lakritze der Marke Haribo musste der Verbraucher jahrelang erhöhte Preise bezahlen. Der Süßwarenhersteller hatte mit großen Einzelhandelsunternehmen wie Edeka, Rewe, Kaufland, Metro und Aldi</w:t>
      </w:r>
      <w:r w:rsidR="007458F6">
        <w:rPr>
          <w:rFonts w:ascii="Arial" w:hAnsi="Arial" w:cs="Arial"/>
          <w:noProof/>
          <w:sz w:val="24"/>
          <w:szCs w:val="24"/>
          <w:lang w:eastAsia="de-DE"/>
        </w:rPr>
        <w:t xml:space="preserve"> illegal Mindestverkaufspreise vereinbart.</w:t>
      </w:r>
    </w:p>
    <w:p w14:paraId="18896225" w14:textId="11D472CE" w:rsidR="007458F6" w:rsidRDefault="007458F6" w:rsidP="00551A19">
      <w:pPr>
        <w:rPr>
          <w:rFonts w:ascii="Arial" w:hAnsi="Arial" w:cs="Arial"/>
          <w:noProof/>
          <w:sz w:val="24"/>
          <w:szCs w:val="24"/>
          <w:lang w:eastAsia="de-DE"/>
        </w:rPr>
      </w:pPr>
      <w:r>
        <w:rPr>
          <w:rFonts w:ascii="Arial" w:hAnsi="Arial" w:cs="Arial"/>
          <w:noProof/>
          <w:sz w:val="24"/>
          <w:szCs w:val="24"/>
          <w:lang w:eastAsia="de-DE"/>
        </w:rPr>
        <w:t>Haribo überwachte die Ladenverkaufspreise und schritt umgehend ein, wenn eine Unterschreitung der festgelegten Preisuntergrenze durch einen Händler drohte.</w:t>
      </w:r>
    </w:p>
    <w:p w14:paraId="1E450621" w14:textId="5908E9CB" w:rsidR="007458F6" w:rsidRDefault="007458F6" w:rsidP="00551A19">
      <w:pPr>
        <w:rPr>
          <w:rFonts w:ascii="Arial" w:hAnsi="Arial" w:cs="Arial"/>
          <w:noProof/>
          <w:sz w:val="24"/>
          <w:szCs w:val="24"/>
          <w:lang w:eastAsia="de-DE"/>
        </w:rPr>
      </w:pPr>
    </w:p>
    <w:p w14:paraId="45FDE75D" w14:textId="36108107" w:rsidR="007458F6" w:rsidRDefault="007458F6" w:rsidP="00551A19">
      <w:pPr>
        <w:rPr>
          <w:rFonts w:ascii="Arial" w:hAnsi="Arial" w:cs="Arial"/>
          <w:noProof/>
          <w:sz w:val="24"/>
          <w:szCs w:val="24"/>
          <w:lang w:eastAsia="de-DE"/>
        </w:rPr>
      </w:pPr>
      <w:r>
        <w:rPr>
          <w:rFonts w:ascii="Arial" w:hAnsi="Arial" w:cs="Arial"/>
          <w:noProof/>
          <w:sz w:val="24"/>
          <w:szCs w:val="24"/>
          <w:lang w:eastAsia="de-DE"/>
        </w:rPr>
        <w:t>Kartelle sind vertragliche Absprachen von Unternehmungen (oft aus der gleichen Branche), um bestimmte wirtschaftliche Vorteile zu erzielen. Die Unternehmen bleiben rechtlich selbstständig, sie verlieren jedoch teilweise ihre wirtschaftliche Unabhängigkeit. Durch das Kartell wollen die beteiligten Unternehmen Markt und Wettbewerb in ihrem Interesse beeinflussen.</w:t>
      </w:r>
    </w:p>
    <w:p w14:paraId="3232C2A2" w14:textId="2550CC26" w:rsidR="007458F6" w:rsidRDefault="007458F6" w:rsidP="00551A19">
      <w:pPr>
        <w:rPr>
          <w:rFonts w:ascii="Arial" w:hAnsi="Arial" w:cs="Arial"/>
          <w:noProof/>
          <w:sz w:val="24"/>
          <w:szCs w:val="24"/>
          <w:lang w:eastAsia="de-DE"/>
        </w:rPr>
      </w:pPr>
      <w:r>
        <w:rPr>
          <w:rFonts w:ascii="Arial" w:hAnsi="Arial" w:cs="Arial"/>
          <w:noProof/>
          <w:sz w:val="24"/>
          <w:szCs w:val="24"/>
          <w:lang w:eastAsia="de-DE"/>
        </w:rPr>
        <w:t>Kartelle, die den Wettbewerb beeinträchtigen oder einschränken, sind grundsätzlich durch das Gesetz gegen Wettberwerbsbeschränkungen untersagt. Für die Bundesrepublik Deutschland überwacht das Bundeskartellamt in Berlin die Einhaltung des Gesetzes. Im Rahmen der EU ist die Kartellbehörde in Brüssel zuständig. Grundsätzlich verboten sind folgende Absprachen:</w:t>
      </w:r>
    </w:p>
    <w:p w14:paraId="27B49A4F" w14:textId="3FC9C32D" w:rsidR="007458F6" w:rsidRPr="00705B34" w:rsidRDefault="007458F6" w:rsidP="007458F6">
      <w:pPr>
        <w:pStyle w:val="Listenabsatz"/>
        <w:numPr>
          <w:ilvl w:val="0"/>
          <w:numId w:val="4"/>
        </w:numPr>
        <w:rPr>
          <w:rFonts w:ascii="Arial" w:hAnsi="Arial" w:cs="Arial"/>
          <w:noProof/>
          <w:sz w:val="24"/>
          <w:szCs w:val="24"/>
          <w:lang w:eastAsia="de-DE"/>
        </w:rPr>
      </w:pPr>
      <w:r>
        <w:rPr>
          <w:rFonts w:ascii="Arial" w:hAnsi="Arial" w:cs="Arial"/>
          <w:b/>
          <w:bCs/>
          <w:noProof/>
          <w:sz w:val="24"/>
          <w:szCs w:val="24"/>
          <w:lang w:eastAsia="de-DE"/>
        </w:rPr>
        <w:t xml:space="preserve">Preiskartelle: Für Waren </w:t>
      </w:r>
      <w:r w:rsidR="00705B34">
        <w:rPr>
          <w:rFonts w:ascii="Arial" w:hAnsi="Arial" w:cs="Arial"/>
          <w:b/>
          <w:bCs/>
          <w:noProof/>
          <w:sz w:val="24"/>
          <w:szCs w:val="24"/>
          <w:lang w:eastAsia="de-DE"/>
        </w:rPr>
        <w:t>oder</w:t>
      </w:r>
      <w:r>
        <w:rPr>
          <w:rFonts w:ascii="Arial" w:hAnsi="Arial" w:cs="Arial"/>
          <w:b/>
          <w:bCs/>
          <w:noProof/>
          <w:sz w:val="24"/>
          <w:szCs w:val="24"/>
          <w:lang w:eastAsia="de-DE"/>
        </w:rPr>
        <w:t xml:space="preserve"> Dienstleistungen</w:t>
      </w:r>
      <w:r w:rsidR="00705B34">
        <w:rPr>
          <w:rFonts w:ascii="Arial" w:hAnsi="Arial" w:cs="Arial"/>
          <w:b/>
          <w:bCs/>
          <w:noProof/>
          <w:sz w:val="24"/>
          <w:szCs w:val="24"/>
          <w:lang w:eastAsia="de-DE"/>
        </w:rPr>
        <w:t xml:space="preserve"> werden gleiche Preise vereinbart.</w:t>
      </w:r>
    </w:p>
    <w:p w14:paraId="3A517721" w14:textId="00CEACB1" w:rsidR="00705B34" w:rsidRPr="00705B34" w:rsidRDefault="00705B34" w:rsidP="007458F6">
      <w:pPr>
        <w:pStyle w:val="Listenabsatz"/>
        <w:numPr>
          <w:ilvl w:val="0"/>
          <w:numId w:val="4"/>
        </w:numPr>
        <w:rPr>
          <w:rFonts w:ascii="Arial" w:hAnsi="Arial" w:cs="Arial"/>
          <w:noProof/>
          <w:sz w:val="24"/>
          <w:szCs w:val="24"/>
          <w:lang w:eastAsia="de-DE"/>
        </w:rPr>
      </w:pPr>
      <w:r>
        <w:rPr>
          <w:rFonts w:ascii="Arial" w:hAnsi="Arial" w:cs="Arial"/>
          <w:b/>
          <w:bCs/>
          <w:noProof/>
          <w:sz w:val="24"/>
          <w:szCs w:val="24"/>
          <w:lang w:eastAsia="de-DE"/>
        </w:rPr>
        <w:t>Mengenkartelle: Auf dem Markt wird das Angebot beschränkt</w:t>
      </w:r>
    </w:p>
    <w:p w14:paraId="13C3AD63" w14:textId="478CDAE2" w:rsidR="00705B34" w:rsidRPr="00705B34" w:rsidRDefault="00705B34" w:rsidP="007458F6">
      <w:pPr>
        <w:pStyle w:val="Listenabsatz"/>
        <w:numPr>
          <w:ilvl w:val="0"/>
          <w:numId w:val="4"/>
        </w:numPr>
        <w:rPr>
          <w:rFonts w:ascii="Arial" w:hAnsi="Arial" w:cs="Arial"/>
          <w:noProof/>
          <w:sz w:val="24"/>
          <w:szCs w:val="24"/>
          <w:lang w:eastAsia="de-DE"/>
        </w:rPr>
      </w:pPr>
      <w:r>
        <w:rPr>
          <w:rFonts w:ascii="Arial" w:hAnsi="Arial" w:cs="Arial"/>
          <w:b/>
          <w:bCs/>
          <w:noProof/>
          <w:sz w:val="24"/>
          <w:szCs w:val="24"/>
          <w:lang w:eastAsia="de-DE"/>
        </w:rPr>
        <w:t>Gebietskartelle: Der Markt wird zwischen den Anbietern aufgeteilt.</w:t>
      </w:r>
    </w:p>
    <w:p w14:paraId="01B5EA3F" w14:textId="2BBC0A09" w:rsidR="00705B34" w:rsidRPr="00705B34" w:rsidRDefault="00705B34" w:rsidP="007458F6">
      <w:pPr>
        <w:pStyle w:val="Listenabsatz"/>
        <w:numPr>
          <w:ilvl w:val="0"/>
          <w:numId w:val="4"/>
        </w:numPr>
        <w:rPr>
          <w:rFonts w:ascii="Arial" w:hAnsi="Arial" w:cs="Arial"/>
          <w:noProof/>
          <w:sz w:val="24"/>
          <w:szCs w:val="24"/>
          <w:lang w:eastAsia="de-DE"/>
        </w:rPr>
      </w:pPr>
      <w:r>
        <w:rPr>
          <w:rFonts w:ascii="Arial" w:hAnsi="Arial" w:cs="Arial"/>
          <w:b/>
          <w:bCs/>
          <w:noProof/>
          <w:sz w:val="24"/>
          <w:szCs w:val="24"/>
          <w:lang w:eastAsia="de-DE"/>
        </w:rPr>
        <w:t>Produktionskartelle: Die Anbieter begrenzen ihre Produktpalette.</w:t>
      </w:r>
    </w:p>
    <w:p w14:paraId="67D9BEB4" w14:textId="6214371D" w:rsidR="00705B34" w:rsidRDefault="00705B34" w:rsidP="00705B34">
      <w:pPr>
        <w:rPr>
          <w:rFonts w:ascii="Arial" w:hAnsi="Arial" w:cs="Arial"/>
          <w:noProof/>
          <w:sz w:val="24"/>
          <w:szCs w:val="24"/>
          <w:lang w:eastAsia="de-DE"/>
        </w:rPr>
      </w:pPr>
      <w:r>
        <w:rPr>
          <w:rFonts w:ascii="Arial" w:hAnsi="Arial" w:cs="Arial"/>
          <w:noProof/>
          <w:sz w:val="24"/>
          <w:szCs w:val="24"/>
          <w:lang w:eastAsia="de-DE"/>
        </w:rPr>
        <w:t>Das Kartellgesetz lässt eine Reihe von Kartellen zu. Wenn Unternehmen Vereinbarungen treffen, müssen sie prüfen, ob die positiven Wirkungen größer sind als die wettbewerbsbeschränkenden Wirkungen. Ist dies der Fall, sind sie vom Kartellverbot freigestellt. Solche Ausnahmen sind z.B.:</w:t>
      </w:r>
    </w:p>
    <w:p w14:paraId="3C93341E" w14:textId="69957368" w:rsidR="00705B34" w:rsidRDefault="00705B34" w:rsidP="00705B34">
      <w:pPr>
        <w:pStyle w:val="Listenabsatz"/>
        <w:numPr>
          <w:ilvl w:val="0"/>
          <w:numId w:val="5"/>
        </w:numPr>
        <w:rPr>
          <w:rFonts w:ascii="Arial" w:hAnsi="Arial" w:cs="Arial"/>
          <w:b/>
          <w:bCs/>
          <w:noProof/>
          <w:sz w:val="24"/>
          <w:szCs w:val="24"/>
          <w:lang w:eastAsia="de-DE"/>
        </w:rPr>
      </w:pPr>
      <w:r>
        <w:rPr>
          <w:rFonts w:ascii="Arial" w:hAnsi="Arial" w:cs="Arial"/>
          <w:b/>
          <w:bCs/>
          <w:noProof/>
          <w:sz w:val="24"/>
          <w:szCs w:val="24"/>
          <w:lang w:eastAsia="de-DE"/>
        </w:rPr>
        <w:t>Verbraucherbeteilgung am Gewinn</w:t>
      </w:r>
    </w:p>
    <w:p w14:paraId="25793978" w14:textId="29A57B17" w:rsidR="00705B34" w:rsidRDefault="00705B34" w:rsidP="00705B34">
      <w:pPr>
        <w:pStyle w:val="Listenabsatz"/>
        <w:numPr>
          <w:ilvl w:val="0"/>
          <w:numId w:val="5"/>
        </w:numPr>
        <w:rPr>
          <w:rFonts w:ascii="Arial" w:hAnsi="Arial" w:cs="Arial"/>
          <w:b/>
          <w:bCs/>
          <w:noProof/>
          <w:sz w:val="24"/>
          <w:szCs w:val="24"/>
          <w:lang w:eastAsia="de-DE"/>
        </w:rPr>
      </w:pPr>
      <w:r>
        <w:rPr>
          <w:rFonts w:ascii="Arial" w:hAnsi="Arial" w:cs="Arial"/>
          <w:b/>
          <w:bCs/>
          <w:noProof/>
          <w:sz w:val="24"/>
          <w:szCs w:val="24"/>
          <w:lang w:eastAsia="de-DE"/>
        </w:rPr>
        <w:t>Keine Wettberwerbsausschaltung</w:t>
      </w:r>
    </w:p>
    <w:p w14:paraId="4C6FE6D0" w14:textId="35155652" w:rsidR="00705B34" w:rsidRDefault="00705B34" w:rsidP="00705B34">
      <w:pPr>
        <w:rPr>
          <w:rFonts w:ascii="Arial" w:hAnsi="Arial" w:cs="Arial"/>
          <w:b/>
          <w:bCs/>
          <w:noProof/>
          <w:sz w:val="24"/>
          <w:szCs w:val="24"/>
          <w:lang w:eastAsia="de-DE"/>
        </w:rPr>
      </w:pPr>
    </w:p>
    <w:p w14:paraId="0E9D52CC" w14:textId="7BBD51A7" w:rsidR="00705B34" w:rsidRDefault="00705B34" w:rsidP="00705B34">
      <w:pPr>
        <w:rPr>
          <w:rFonts w:ascii="Arial" w:hAnsi="Arial" w:cs="Arial"/>
          <w:b/>
          <w:bCs/>
          <w:noProof/>
          <w:sz w:val="24"/>
          <w:szCs w:val="24"/>
          <w:lang w:eastAsia="de-DE"/>
        </w:rPr>
      </w:pPr>
      <w:r>
        <w:rPr>
          <w:rFonts w:ascii="Arial" w:hAnsi="Arial" w:cs="Arial"/>
          <w:b/>
          <w:bCs/>
          <w:noProof/>
          <w:sz w:val="24"/>
          <w:szCs w:val="24"/>
          <w:lang w:eastAsia="de-DE"/>
        </w:rPr>
        <w:t>Aufgaben:</w:t>
      </w:r>
    </w:p>
    <w:p w14:paraId="28F27944" w14:textId="1A1089CC" w:rsidR="00705B34" w:rsidRDefault="00705B34" w:rsidP="00705B34">
      <w:pPr>
        <w:pStyle w:val="Listenabsatz"/>
        <w:numPr>
          <w:ilvl w:val="0"/>
          <w:numId w:val="6"/>
        </w:numPr>
        <w:rPr>
          <w:rFonts w:ascii="Arial" w:hAnsi="Arial" w:cs="Arial"/>
          <w:b/>
          <w:bCs/>
          <w:noProof/>
          <w:sz w:val="24"/>
          <w:szCs w:val="24"/>
          <w:lang w:eastAsia="de-DE"/>
        </w:rPr>
      </w:pPr>
      <w:r>
        <w:rPr>
          <w:rFonts w:ascii="Arial" w:hAnsi="Arial" w:cs="Arial"/>
          <w:b/>
          <w:bCs/>
          <w:noProof/>
          <w:sz w:val="24"/>
          <w:szCs w:val="24"/>
          <w:lang w:eastAsia="de-DE"/>
        </w:rPr>
        <w:t>Erkläen Sie den Begriff Kartell.</w:t>
      </w:r>
    </w:p>
    <w:p w14:paraId="0783251D" w14:textId="46124D31" w:rsidR="00705B34" w:rsidRPr="00705B34" w:rsidRDefault="00705B34" w:rsidP="00705B34">
      <w:pPr>
        <w:pStyle w:val="Listenabsatz"/>
        <w:numPr>
          <w:ilvl w:val="0"/>
          <w:numId w:val="6"/>
        </w:numPr>
        <w:rPr>
          <w:rFonts w:ascii="Arial" w:hAnsi="Arial" w:cs="Arial"/>
          <w:b/>
          <w:bCs/>
          <w:noProof/>
          <w:sz w:val="24"/>
          <w:szCs w:val="24"/>
          <w:lang w:eastAsia="de-DE"/>
        </w:rPr>
      </w:pPr>
      <w:r>
        <w:rPr>
          <w:rFonts w:ascii="Arial" w:hAnsi="Arial" w:cs="Arial"/>
          <w:b/>
          <w:bCs/>
          <w:noProof/>
          <w:sz w:val="24"/>
          <w:szCs w:val="24"/>
          <w:lang w:eastAsia="de-DE"/>
        </w:rPr>
        <w:t>Nennen Sie die Absprachen, die der Süßwarenhersteller getroffen hat und begründen Sie, warum diese vom Kartellamt bestraft werden.</w:t>
      </w:r>
    </w:p>
    <w:sectPr w:rsidR="00705B34" w:rsidRPr="00705B34" w:rsidSect="00A56E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2EC3"/>
    <w:multiLevelType w:val="hybridMultilevel"/>
    <w:tmpl w:val="62340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83CC0"/>
    <w:multiLevelType w:val="hybridMultilevel"/>
    <w:tmpl w:val="8E42133E"/>
    <w:lvl w:ilvl="0" w:tplc="5AA8567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B81E15"/>
    <w:multiLevelType w:val="hybridMultilevel"/>
    <w:tmpl w:val="886E5D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7C444C"/>
    <w:multiLevelType w:val="hybridMultilevel"/>
    <w:tmpl w:val="23F2648A"/>
    <w:lvl w:ilvl="0" w:tplc="0EF0888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B010FB"/>
    <w:multiLevelType w:val="hybridMultilevel"/>
    <w:tmpl w:val="39945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A759B0"/>
    <w:multiLevelType w:val="hybridMultilevel"/>
    <w:tmpl w:val="1AA4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310392">
    <w:abstractNumId w:val="1"/>
  </w:num>
  <w:num w:numId="2" w16cid:durableId="1961036196">
    <w:abstractNumId w:val="3"/>
  </w:num>
  <w:num w:numId="3" w16cid:durableId="1503813652">
    <w:abstractNumId w:val="2"/>
  </w:num>
  <w:num w:numId="4" w16cid:durableId="680008548">
    <w:abstractNumId w:val="0"/>
  </w:num>
  <w:num w:numId="5" w16cid:durableId="431166416">
    <w:abstractNumId w:val="4"/>
  </w:num>
  <w:num w:numId="6" w16cid:durableId="807554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FD"/>
    <w:rsid w:val="000201A3"/>
    <w:rsid w:val="0008080B"/>
    <w:rsid w:val="002040D2"/>
    <w:rsid w:val="002C7924"/>
    <w:rsid w:val="002F387F"/>
    <w:rsid w:val="0033492D"/>
    <w:rsid w:val="003525A5"/>
    <w:rsid w:val="003846F5"/>
    <w:rsid w:val="00551A19"/>
    <w:rsid w:val="00595D3F"/>
    <w:rsid w:val="005D1434"/>
    <w:rsid w:val="00613B40"/>
    <w:rsid w:val="00705B34"/>
    <w:rsid w:val="007458F6"/>
    <w:rsid w:val="0087506E"/>
    <w:rsid w:val="00A56EAA"/>
    <w:rsid w:val="00AF104A"/>
    <w:rsid w:val="00CA0BFD"/>
    <w:rsid w:val="00E43E5D"/>
    <w:rsid w:val="00E77A6B"/>
    <w:rsid w:val="00F21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7D71"/>
  <w15:chartTrackingRefBased/>
  <w15:docId w15:val="{13D3584A-FE30-48F2-8AA4-94B8A830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52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Kappelmanm</dc:creator>
  <cp:keywords/>
  <dc:description/>
  <cp:lastModifiedBy>Dennis Kappelmanm</cp:lastModifiedBy>
  <cp:revision>2</cp:revision>
  <cp:lastPrinted>2022-10-06T17:08:00Z</cp:lastPrinted>
  <dcterms:created xsi:type="dcterms:W3CDTF">2022-10-06T17:26:00Z</dcterms:created>
  <dcterms:modified xsi:type="dcterms:W3CDTF">2022-10-06T17:26:00Z</dcterms:modified>
</cp:coreProperties>
</file>